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60" w:line="240" w:lineRule="auto"/>
        <w:jc w:val="center"/>
      </w:pPr>
      <w:r>
        <w:rPr>
          <w:rFonts w:ascii="Arial" w:hAnsi="Arial"/>
          <w:b w:val="0"/>
          <w:i w:val="0"/>
          <w:color w:val="0070C0"/>
          <w:sz w:val="30"/>
        </w:rPr>
        <w:t>Print on Physician Letterhead</w:t>
      </w:r>
    </w:p>
    <w:p>
      <w:pPr>
        <w:keepNext w:val="0"/>
        <w:spacing w:before="0" w:after="0" w:line="240" w:lineRule="auto"/>
        <w:jc w:val="center"/>
      </w:pPr>
      <w:r>
        <w:rPr>
          <w:rFonts w:ascii="Arial" w:hAnsi="Arial"/>
          <w:b/>
          <w:i w:val="0"/>
          <w:sz w:val="24"/>
        </w:rPr>
        <w:t>Letter of Medical Necessity</w:t>
      </w:r>
    </w:p>
    <w:p>
      <w:pPr>
        <w:keepNext w:val="0"/>
        <w:spacing w:before="0" w:after="360" w:line="240" w:lineRule="auto"/>
        <w:jc w:val="center"/>
      </w:pPr>
      <w:r>
        <w:rPr>
          <w:rFonts w:ascii="Arial" w:hAnsi="Arial"/>
          <w:b/>
          <w:i w:val="0"/>
          <w:sz w:val="24"/>
        </w:rPr>
        <w:t>GELMIX Infant Thickener</w:t>
      </w:r>
    </w:p>
    <w:p>
      <w:pPr>
        <w:keepNext w:val="0"/>
        <w:spacing w:before="0" w:after="160" w:line="240" w:lineRule="auto"/>
      </w:pPr>
      <w:r>
        <w:rPr>
          <w:rFonts w:ascii="Times New Roman" w:hAnsi="Times New Roman"/>
          <w:b w:val="0"/>
          <w:i w:val="0"/>
          <w:sz w:val="21"/>
        </w:rPr>
        <w:t>Date:     ____ / ____ / ____</w:t>
      </w:r>
    </w:p>
    <w:p>
      <w:pPr>
        <w:keepNext w:val="0"/>
        <w:tabs>
          <w:tab w:pos="792" w:val="left"/>
          <w:tab w:pos="5904" w:val="left"/>
        </w:tabs>
        <w:spacing w:before="0" w:after="200" w:line="240" w:lineRule="auto"/>
      </w:pPr>
      <w:r>
        <w:rPr>
          <w:rFonts w:ascii="Times New Roman" w:hAnsi="Times New Roman"/>
          <w:b w:val="0"/>
          <w:i w:val="0"/>
          <w:sz w:val="21"/>
        </w:rPr>
        <w:t>Re:</w:t>
        <w:tab/>
        <w:t>Patient name: ________________________________</w:t>
        <w:tab/>
        <w:t>Patient DOB:  ____/ ____/ ____</w:t>
      </w:r>
    </w:p>
    <w:p>
      <w:pPr>
        <w:keepNext w:val="0"/>
        <w:spacing w:before="0" w:after="140" w:line="240" w:lineRule="auto"/>
      </w:pPr>
      <w:r>
        <w:rPr>
          <w:rFonts w:ascii="Times New Roman" w:hAnsi="Times New Roman"/>
          <w:b w:val="0"/>
          <w:i w:val="0"/>
          <w:sz w:val="21"/>
        </w:rPr>
        <w:t>To Whom It May Concern:</w:t>
      </w:r>
    </w:p>
    <w:p>
      <w:pPr>
        <w:keepNext w:val="0"/>
        <w:spacing w:before="0" w:after="40" w:line="240" w:lineRule="auto"/>
      </w:pPr>
      <w:r>
        <w:rPr>
          <w:rFonts w:ascii="Times New Roman" w:hAnsi="Times New Roman"/>
          <w:b w:val="0"/>
          <w:i w:val="0"/>
          <w:sz w:val="21"/>
        </w:rPr>
        <w:t>This patient shows dysphagia (select one):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85"/>
        <w:gridCol w:w="3485"/>
        <w:gridCol w:w="3485"/>
      </w:tblGrid>
      <w:tr>
        <w:tc>
          <w:tcPr>
            <w:tcW w:type="dxa" w:w="2880"/>
            <w:tcMar>
              <w:top w:w="0" w:type="dxa"/>
              <w:start w:w="30" w:type="dxa"/>
              <w:bottom w:w="0" w:type="dxa"/>
              <w:end w:w="30" w:type="dxa"/>
            </w:tcMar>
            <w:vAlign w:val="center"/>
          </w:tcPr>
          <w:p>
            <w:pPr>
              <w:spacing w:after="0" w:line="228" w:lineRule="auto"/>
            </w:pPr>
            <w:r>
              <w:rPr>
                <w:rFonts w:ascii="Times New Roman" w:hAnsi="Times New Roman"/>
                <w:b w:val="0"/>
                <w:i w:val="0"/>
                <w:sz w:val="19"/>
              </w:rPr>
              <w:t>□ oral phase (R13.11)</w:t>
            </w:r>
          </w:p>
        </w:tc>
        <w:tc>
          <w:tcPr>
            <w:tcW w:type="dxa" w:w="3168"/>
            <w:tcMar>
              <w:top w:w="0" w:type="dxa"/>
              <w:start w:w="30" w:type="dxa"/>
              <w:bottom w:w="0" w:type="dxa"/>
              <w:end w:w="30" w:type="dxa"/>
            </w:tcMar>
            <w:vAlign w:val="center"/>
          </w:tcPr>
          <w:p>
            <w:pPr>
              <w:spacing w:after="0" w:line="228" w:lineRule="auto"/>
            </w:pPr>
            <w:r>
              <w:rPr>
                <w:rFonts w:ascii="Times New Roman" w:hAnsi="Times New Roman"/>
                <w:b w:val="0"/>
                <w:i w:val="0"/>
                <w:sz w:val="19"/>
              </w:rPr>
              <w:t>□ oropharyngeal phase (R13.12)</w:t>
            </w:r>
          </w:p>
        </w:tc>
        <w:tc>
          <w:tcPr>
            <w:tcW w:type="dxa" w:w="3960"/>
            <w:tcMar>
              <w:top w:w="0" w:type="dxa"/>
              <w:start w:w="30" w:type="dxa"/>
              <w:bottom w:w="0" w:type="dxa"/>
              <w:end w:w="30" w:type="dxa"/>
            </w:tcMar>
            <w:vAlign w:val="center"/>
          </w:tcPr>
          <w:p>
            <w:pPr>
              <w:spacing w:after="0" w:line="228" w:lineRule="auto"/>
            </w:pPr>
            <w:r>
              <w:rPr>
                <w:rFonts w:ascii="Times New Roman" w:hAnsi="Times New Roman"/>
                <w:b w:val="0"/>
                <w:i w:val="0"/>
                <w:sz w:val="19"/>
              </w:rPr>
              <w:t>□ pharyngeal phase (R13.13)</w:t>
            </w:r>
          </w:p>
        </w:tc>
      </w:tr>
      <w:tr>
        <w:tc>
          <w:tcPr>
            <w:tcW w:type="dxa" w:w="2880"/>
            <w:tcMar>
              <w:top w:w="0" w:type="dxa"/>
              <w:start w:w="30" w:type="dxa"/>
              <w:bottom w:w="0" w:type="dxa"/>
              <w:end w:w="30" w:type="dxa"/>
            </w:tcMar>
            <w:vAlign w:val="center"/>
          </w:tcPr>
          <w:p>
            <w:pPr>
              <w:spacing w:after="0" w:line="228" w:lineRule="auto"/>
            </w:pPr>
            <w:r>
              <w:rPr>
                <w:rFonts w:ascii="Times New Roman" w:hAnsi="Times New Roman"/>
                <w:b w:val="0"/>
                <w:i w:val="0"/>
                <w:sz w:val="19"/>
              </w:rPr>
              <w:t>□ pharyngoesophageal phase (R13.14)</w:t>
            </w:r>
          </w:p>
        </w:tc>
        <w:tc>
          <w:tcPr>
            <w:tcW w:type="dxa" w:w="3168"/>
            <w:tcMar>
              <w:top w:w="0" w:type="dxa"/>
              <w:start w:w="30" w:type="dxa"/>
              <w:bottom w:w="0" w:type="dxa"/>
              <w:end w:w="30" w:type="dxa"/>
            </w:tcMar>
            <w:vAlign w:val="center"/>
          </w:tcPr>
          <w:p>
            <w:pPr>
              <w:spacing w:after="0" w:line="228" w:lineRule="auto"/>
            </w:pPr>
            <w:r>
              <w:rPr>
                <w:rFonts w:ascii="Times New Roman" w:hAnsi="Times New Roman"/>
                <w:b w:val="0"/>
                <w:i w:val="0"/>
                <w:sz w:val="19"/>
              </w:rPr>
              <w:t>□ gastro- esophageal reflux without esophagitis (K21.9)</w:t>
            </w:r>
          </w:p>
        </w:tc>
        <w:tc>
          <w:tcPr>
            <w:tcW w:type="dxa" w:w="3960"/>
            <w:tcMar>
              <w:top w:w="0" w:type="dxa"/>
              <w:start w:w="30" w:type="dxa"/>
              <w:bottom w:w="0" w:type="dxa"/>
              <w:end w:w="30" w:type="dxa"/>
            </w:tcMar>
            <w:vAlign w:val="center"/>
          </w:tcPr>
          <w:p>
            <w:pPr>
              <w:spacing w:after="0" w:line="228" w:lineRule="auto"/>
            </w:pPr>
            <w:r>
              <w:rPr>
                <w:rFonts w:ascii="Times New Roman" w:hAnsi="Times New Roman"/>
                <w:b w:val="0"/>
                <w:i w:val="0"/>
                <w:sz w:val="19"/>
              </w:rPr>
            </w:r>
          </w:p>
        </w:tc>
      </w:tr>
      <w:tr>
        <w:tc>
          <w:tcPr>
            <w:tcW w:type="dxa" w:w="2880"/>
            <w:tcMar>
              <w:top w:w="0" w:type="dxa"/>
              <w:start w:w="30" w:type="dxa"/>
              <w:bottom w:w="0" w:type="dxa"/>
              <w:end w:w="30" w:type="dxa"/>
            </w:tcMar>
            <w:vAlign w:val="center"/>
          </w:tcPr>
          <w:p>
            <w:pPr>
              <w:spacing w:after="0" w:line="228" w:lineRule="auto"/>
            </w:pPr>
            <w:r>
              <w:rPr>
                <w:rFonts w:ascii="Times New Roman" w:hAnsi="Times New Roman"/>
                <w:b w:val="0"/>
                <w:i w:val="0"/>
                <w:sz w:val="19"/>
              </w:rPr>
              <w:t>□ Other:___________________________</w:t>
            </w:r>
          </w:p>
        </w:tc>
        <w:tc>
          <w:tcPr>
            <w:tcW w:type="dxa" w:w="3168"/>
            <w:tcMar>
              <w:top w:w="0" w:type="dxa"/>
              <w:start w:w="30" w:type="dxa"/>
              <w:bottom w:w="0" w:type="dxa"/>
              <w:end w:w="30" w:type="dxa"/>
            </w:tcMar>
            <w:vAlign w:val="center"/>
          </w:tcPr>
          <w:p>
            <w:pPr>
              <w:spacing w:after="0" w:line="228" w:lineRule="auto"/>
            </w:pPr>
            <w:r>
              <w:rPr>
                <w:rFonts w:ascii="Times New Roman" w:hAnsi="Times New Roman"/>
                <w:b w:val="0"/>
                <w:i w:val="0"/>
                <w:sz w:val="19"/>
              </w:rPr>
            </w:r>
          </w:p>
        </w:tc>
        <w:tc>
          <w:tcPr>
            <w:tcW w:type="dxa" w:w="3960"/>
            <w:tcMar>
              <w:top w:w="0" w:type="dxa"/>
              <w:start w:w="30" w:type="dxa"/>
              <w:bottom w:w="0" w:type="dxa"/>
              <w:end w:w="30" w:type="dxa"/>
            </w:tcMar>
            <w:vAlign w:val="center"/>
          </w:tcPr>
          <w:p>
            <w:pPr>
              <w:spacing w:after="0" w:line="228" w:lineRule="auto"/>
            </w:pPr>
            <w:r>
              <w:rPr>
                <w:rFonts w:ascii="Times New Roman" w:hAnsi="Times New Roman"/>
                <w:b w:val="0"/>
                <w:i w:val="0"/>
                <w:sz w:val="19"/>
              </w:rPr>
            </w:r>
          </w:p>
        </w:tc>
      </w:tr>
    </w:tbl>
    <w:p>
      <w:pPr>
        <w:keepNext w:val="0"/>
        <w:spacing w:before="60" w:after="40" w:line="240" w:lineRule="auto"/>
      </w:pPr>
      <w:r>
        <w:rPr>
          <w:rFonts w:ascii="Times New Roman" w:hAnsi="Times New Roman"/>
          <w:b w:val="0"/>
          <w:i w:val="0"/>
          <w:sz w:val="21"/>
        </w:rPr>
        <w:t>This is evidenced by (select all applicable):</w:t>
      </w:r>
    </w:p>
    <w:p>
      <w:pPr>
        <w:keepNext w:val="0"/>
        <w:spacing w:before="0" w:after="0" w:line="240" w:lineRule="auto"/>
        <w:ind w:left="749" w:firstLine="0"/>
      </w:pPr>
      <w:r>
        <w:rPr>
          <w:rFonts w:ascii="Times New Roman" w:hAnsi="Times New Roman"/>
          <w:b w:val="0"/>
          <w:i w:val="0"/>
          <w:sz w:val="20"/>
        </w:rPr>
        <w:t>□ Clinical signs and symptoms while eating or drinking (coughing, choking, apnea, bradycardia, chest</w:t>
      </w:r>
      <w:r>
        <w:br/>
      </w:r>
      <w:r>
        <w:rPr>
          <w:rFonts w:ascii="Times New Roman" w:hAnsi="Times New Roman"/>
          <w:b w:val="0"/>
          <w:i w:val="0"/>
          <w:sz w:val="20"/>
        </w:rPr>
        <w:t xml:space="preserve">   congestion, cyanosis)</w:t>
      </w:r>
    </w:p>
    <w:p>
      <w:pPr>
        <w:keepNext w:val="0"/>
        <w:spacing w:before="0" w:after="0" w:line="240" w:lineRule="auto"/>
        <w:ind w:left="749" w:firstLine="0"/>
      </w:pPr>
      <w:r>
        <w:rPr>
          <w:rFonts w:ascii="Times New Roman" w:hAnsi="Times New Roman"/>
          <w:b w:val="0"/>
          <w:i w:val="0"/>
          <w:sz w:val="20"/>
        </w:rPr>
        <w:t>□ Modified barium swallow study (MBS)/Video Fluoroscopic Swallow Study (VFSS)</w:t>
      </w:r>
    </w:p>
    <w:p>
      <w:pPr>
        <w:keepNext w:val="0"/>
        <w:spacing w:before="0" w:after="0" w:line="240" w:lineRule="auto"/>
        <w:ind w:left="749" w:firstLine="0"/>
      </w:pPr>
      <w:r>
        <w:rPr>
          <w:rFonts w:ascii="Times New Roman" w:hAnsi="Times New Roman"/>
          <w:b w:val="0"/>
          <w:i w:val="0"/>
          <w:sz w:val="20"/>
        </w:rPr>
        <w:t>□ Fiberoptic endoscopic evaluation of swallowing (FEES)</w:t>
      </w:r>
    </w:p>
    <w:p>
      <w:pPr>
        <w:keepNext w:val="0"/>
        <w:spacing w:before="0" w:after="0" w:line="240" w:lineRule="auto"/>
        <w:ind w:left="749" w:firstLine="0"/>
      </w:pPr>
      <w:r>
        <w:rPr>
          <w:rFonts w:ascii="Times New Roman" w:hAnsi="Times New Roman"/>
          <w:b w:val="0"/>
          <w:i w:val="0"/>
          <w:sz w:val="20"/>
        </w:rPr>
        <w:t>□ Other __________________________________________________________________________________</w:t>
      </w:r>
    </w:p>
    <w:p>
      <w:pPr>
        <w:keepNext w:val="0"/>
        <w:spacing w:before="100" w:after="120" w:line="245" w:lineRule="auto"/>
      </w:pPr>
      <w:r>
        <w:rPr>
          <w:rFonts w:ascii="Times New Roman" w:hAnsi="Times New Roman"/>
          <w:b w:val="0"/>
          <w:i w:val="0"/>
          <w:sz w:val="20"/>
        </w:rPr>
        <w:t>Dysphagia is a swallowing disorder that can lead to tracheal aspiration. Dysphagia can contribute to dehydration, costly hospital admissions, medical procedures and treatments, and can promote the use of enteral tube feedings.</w:t>
      </w:r>
    </w:p>
    <w:p>
      <w:pPr>
        <w:keepNext w:val="0"/>
        <w:spacing w:before="0" w:after="120" w:line="245" w:lineRule="auto"/>
      </w:pPr>
      <w:r>
        <w:rPr>
          <w:rFonts w:ascii="Times New Roman" w:hAnsi="Times New Roman"/>
          <w:b w:val="0"/>
          <w:i w:val="0"/>
          <w:sz w:val="20"/>
        </w:rPr>
        <w:t xml:space="preserve">Thickened feeds/liquids can facilitate safe swallowing and help to avoid the aforementioned problems. Therefore, </w:t>
      </w:r>
      <w:r>
        <w:rPr>
          <w:rFonts w:ascii="Times New Roman" w:hAnsi="Times New Roman"/>
          <w:b/>
          <w:i w:val="0"/>
          <w:sz w:val="20"/>
        </w:rPr>
        <w:t xml:space="preserve">thickening liquids is a medical necessity for this patient. </w:t>
      </w:r>
      <w:r>
        <w:rPr>
          <w:rFonts w:ascii="Times New Roman" w:hAnsi="Times New Roman"/>
          <w:b w:val="0"/>
          <w:i w:val="0"/>
          <w:sz w:val="20"/>
        </w:rPr>
        <w:t>Gelmix Infant Thickener is the only hypoallergenic, USDA organic and Kosher certified powder thickener for breast milk and infant formula (HCPCS Code B4100) that can significantly reduce episodes of aspiration by facilitating safer swallowing.</w:t>
      </w:r>
    </w:p>
    <w:p>
      <w:pPr>
        <w:keepNext w:val="0"/>
        <w:spacing w:before="0" w:after="120" w:line="245" w:lineRule="auto"/>
      </w:pPr>
      <w:r>
        <w:rPr>
          <w:rFonts w:ascii="Times New Roman" w:hAnsi="Times New Roman"/>
          <w:b w:val="0"/>
          <w:i w:val="0"/>
          <w:sz w:val="20"/>
        </w:rPr>
        <w:t>Gelmix is made from simple hypoallergenic ingredients including organic tapioca maltodextrin, organic carob bean gum and calcium carbonate, all with a demonstrated history of safe use with infants. Gelmix maintains thickening potential and nutritional balance in breast milk when compared to rice cereals, starch-based thickeners, and xanthan gum-based thickeners. Starch-based and xanthan-gum based thickeners are not approved for use with infants.</w:t>
      </w:r>
    </w:p>
    <w:tbl>
      <w:tblPr>
        <w:tblW w:type="auto" w:w="0"/>
        <w:jc w:val="center"/>
        <w:tblLayout w:type="fixed"/>
        <w:tblLook w:firstColumn="1" w:firstRow="1" w:lastColumn="0" w:lastRow="0" w:noHBand="0" w:noVBand="1" w:val="04A0"/>
        <w:tblBorders>
          <w:top w:val="single" w:sz="6" w:space="0" w:color="555555"/>
          <w:left w:val="single" w:sz="6" w:space="0" w:color="555555"/>
          <w:bottom w:val="single" w:sz="6" w:space="0" w:color="555555"/>
          <w:right w:val="single" w:sz="6" w:space="0" w:color="555555"/>
        </w:tblBorders>
      </w:tblPr>
      <w:tblGrid>
        <w:gridCol w:w="10454"/>
      </w:tblGrid>
      <w:tr>
        <w:tc>
          <w:tcPr>
            <w:tcW w:type="dxa" w:w="10368"/>
            <w:tcMar>
              <w:top w:w="80" w:type="dxa"/>
              <w:start w:w="85" w:type="dxa"/>
              <w:bottom w:w="80" w:type="dxa"/>
              <w:end w:w="85" w:type="dxa"/>
            </w:tcMar>
          </w:tcPr>
          <w:p>
            <w:pPr>
              <w:spacing w:after="0"/>
            </w:pPr>
            <w:r>
              <w:rPr>
                <w:rFonts w:ascii="Times New Roman" w:hAnsi="Times New Roman"/>
                <w:b w:val="0"/>
                <w:i w:val="0"/>
                <w:color w:val="0070C0"/>
                <w:sz w:val="20"/>
              </w:rPr>
              <w:t>[If applicable, describe successful trial with Gelmix]:</w:t>
            </w:r>
          </w:p>
          <w:p>
            <w:pPr>
              <w:spacing w:after="0"/>
            </w:pPr>
            <w:r>
              <w:rPr>
                <w:rFonts w:ascii="Times New Roman" w:hAnsi="Times New Roman"/>
                <w:b w:val="0"/>
                <w:i w:val="0"/>
                <w:sz w:val="16"/>
              </w:rPr>
              <w:t xml:space="preserve"> </w:t>
            </w:r>
          </w:p>
          <w:p>
            <w:pPr>
              <w:spacing w:after="0"/>
            </w:pPr>
            <w:r>
              <w:rPr>
                <w:rFonts w:ascii="Times New Roman" w:hAnsi="Times New Roman"/>
                <w:b w:val="0"/>
                <w:i w:val="0"/>
                <w:sz w:val="16"/>
              </w:rPr>
              <w:t xml:space="preserve"> </w:t>
            </w:r>
          </w:p>
          <w:p>
            <w:pPr>
              <w:spacing w:after="0"/>
            </w:pPr>
            <w:r>
              <w:rPr>
                <w:rFonts w:ascii="Times New Roman" w:hAnsi="Times New Roman"/>
                <w:b w:val="0"/>
                <w:i w:val="0"/>
                <w:sz w:val="16"/>
              </w:rPr>
              <w:t xml:space="preserve"> </w:t>
            </w:r>
          </w:p>
        </w:tc>
      </w:tr>
    </w:tbl>
    <w:p>
      <w:pPr>
        <w:keepNext w:val="0"/>
        <w:spacing w:before="120" w:after="100" w:line="240" w:lineRule="auto"/>
      </w:pPr>
      <w:r>
        <w:rPr>
          <w:rFonts w:ascii="Times New Roman" w:hAnsi="Times New Roman"/>
          <w:b/>
          <w:i w:val="0"/>
          <w:sz w:val="21"/>
        </w:rPr>
        <w:t>We strongly recommend that this patient’s liquids are thickened with Gelmix per attached Thickener</w:t>
        <w:br/>
        <w:t>Prescription Form as is considered Medically Necessary for this patient.</w:t>
      </w:r>
    </w:p>
    <w:p>
      <w:pPr>
        <w:keepNext w:val="0"/>
        <w:spacing w:before="0" w:after="140" w:line="240" w:lineRule="auto"/>
      </w:pPr>
      <w:r>
        <w:rPr>
          <w:rFonts w:ascii="Times New Roman" w:hAnsi="Times New Roman"/>
          <w:b w:val="0"/>
          <w:i w:val="0"/>
          <w:sz w:val="21"/>
        </w:rPr>
        <w:t>Thank you for approving Gelmix for this patient.</w:t>
      </w:r>
    </w:p>
    <w:p>
      <w:pPr>
        <w:keepNext w:val="0"/>
        <w:spacing w:before="0" w:after="120" w:line="240" w:lineRule="auto"/>
      </w:pPr>
      <w:r>
        <w:rPr>
          <w:rFonts w:ascii="Times New Roman" w:hAnsi="Times New Roman"/>
          <w:b w:val="0"/>
          <w:i w:val="0"/>
          <w:sz w:val="21"/>
        </w:rPr>
        <w:t>Sincerely,</w:t>
      </w:r>
    </w:p>
    <w:p>
      <w:pPr>
        <w:keepNext w:val="0"/>
        <w:spacing w:before="0" w:after="40" w:line="240" w:lineRule="auto"/>
      </w:pPr>
      <w:r>
        <w:rPr>
          <w:rFonts w:ascii="Times New Roman" w:hAnsi="Times New Roman"/>
          <w:b w:val="0"/>
          <w:i w:val="0"/>
          <w:sz w:val="20"/>
        </w:rPr>
        <w:t>Physician Name:  ________________________________    Physician Medicaid # ______________________________</w:t>
      </w:r>
    </w:p>
    <w:p>
      <w:pPr>
        <w:keepNext w:val="0"/>
        <w:spacing w:before="0" w:after="0" w:line="240" w:lineRule="auto"/>
      </w:pPr>
      <w:r>
        <w:rPr>
          <w:rFonts w:ascii="Times New Roman" w:hAnsi="Times New Roman"/>
          <w:b w:val="0"/>
          <w:i w:val="0"/>
          <w:sz w:val="20"/>
        </w:rPr>
        <w:t>_______________________________________________    NPI # _________________________________</w:t>
      </w:r>
    </w:p>
    <w:p>
      <w:pPr>
        <w:keepNext w:val="0"/>
        <w:spacing w:before="0" w:after="0" w:line="240" w:lineRule="auto"/>
      </w:pPr>
      <w:r>
        <w:rPr>
          <w:rFonts w:ascii="Times New Roman" w:hAnsi="Times New Roman"/>
          <w:b w:val="0"/>
          <w:i w:val="0"/>
          <w:sz w:val="21"/>
        </w:rPr>
        <w:t>Physician’s Signature</w:t>
      </w:r>
    </w:p>
    <w:p>
      <w:pPr>
        <w:keepNext w:val="0"/>
        <w:spacing w:before="440" w:after="0" w:line="240" w:lineRule="auto"/>
      </w:pPr>
      <w:r>
        <w:rPr>
          <w:rFonts w:ascii="Arial" w:hAnsi="Arial"/>
          <w:b w:val="0"/>
          <w:i/>
          <w:color w:val="FF0000"/>
          <w:sz w:val="17"/>
        </w:rPr>
        <w:t>Revised 02/24/2026</w:t>
      </w:r>
    </w:p>
    <w:sectPr w:rsidR="00FC693F" w:rsidRPr="0006063C" w:rsidSect="00034616">
      <w:pgSz w:w="12240" w:h="15840"/>
      <w:pgMar w:top="749"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Medical Necessity - GELMIX Infant Thickener</dc:title>
  <dc:subject>Letter of Medical Necessity</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